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D4" w:rsidRPr="00527ED4" w:rsidRDefault="00527ED4" w:rsidP="00527ED4">
      <w:pPr>
        <w:rPr>
          <w:lang w:eastAsia="ru-RU"/>
        </w:rPr>
      </w:pPr>
      <w:bookmarkStart w:id="0" w:name="_GoBack"/>
      <w:r w:rsidRPr="00527ED4">
        <w:rPr>
          <w:lang w:eastAsia="ru-RU"/>
        </w:rPr>
        <w:t>Конкретные примеры, отражающие результативность рассмотрения письменных и устных обращений граждан.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В соответствии с типовым общероссийским тематическим классификатором письменных и устных обращений граждан проведены анализ, систематизация и обобщение обращений, поступивших в администрацию муниципального района.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Основные вопросы, затрагиваемые в обращениях граждан, относятся к следующим тематическим разделам: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Жилищно-коммунальная сфера – 43,8%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Социальная сфера – 21,1%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Государство, общество, политика – 14,8%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Экономика– 19,5 %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Оборона, безопасность, законность – 0,8%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 xml:space="preserve">Анализ характера обращений граждан, поступивших в администрацию </w:t>
      </w:r>
      <w:proofErr w:type="spellStart"/>
      <w:r w:rsidRPr="00527ED4">
        <w:rPr>
          <w:lang w:eastAsia="ru-RU"/>
        </w:rPr>
        <w:t>Рамонского</w:t>
      </w:r>
      <w:proofErr w:type="spellEnd"/>
      <w:r w:rsidRPr="00527ED4">
        <w:rPr>
          <w:lang w:eastAsia="ru-RU"/>
        </w:rPr>
        <w:t xml:space="preserve"> муниципального района в 3 квартале  2016, показывает, что наиболее важными вопросами, затрагиваемыми в обращениях граждан, стали вопросы жилищно-коммунального хозяйства, </w:t>
      </w:r>
      <w:r w:rsidRPr="00527ED4">
        <w:rPr>
          <w:color w:val="000000"/>
          <w:lang w:eastAsia="ru-RU"/>
        </w:rPr>
        <w:t> связанные с проблемами водоснабжения поселений, с ремонтом дорог, а также по вопросам благоустройства и освещения дворовых территорий, переселения из ветхого и аварийного жилья, предоставления жилья малообеспеченной категории граждан, законности вырубки зеленых насаждений.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Большое количество обращений поступало по вопросу включения в краткосрочный план капитального ремонта домов на 2016-2017 гг.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 Администрацией муниципального района было направлено письмо в адрес Фонда капитального ремонта многоквартирных жилых домов Воронежской области с просьбой рассмотреть возможность включения данных домов в план. По результатам обследования домов специализированной организацией будет принято решение о включении их в краткосрочный     план ремонта.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>Также увеличилось количество обращений граждан по вопросам устранения препятствий в пользовании береговой полосой водного объекта общего пользования (озеро Кривое). В связи с обращениями граждан о строительстве в прибрежной защитной береговой полосе озера Кривое администрацией муниципального района была проведена комиссионная проверка фактов, изложенных в обращениях. В ходе проверки установлено, что данная территория является частной собственностью и доступ к двадцатиметровой береговой полосе озера Кривое был ограничен частично, проход через установленный забор возможен через калитку. 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 xml:space="preserve">Неоднократно в течение III квартала в администрацию муниципального района поступали </w:t>
      </w:r>
      <w:proofErr w:type="gramStart"/>
      <w:r w:rsidRPr="00527ED4">
        <w:rPr>
          <w:color w:val="000000"/>
          <w:lang w:eastAsia="ru-RU"/>
        </w:rPr>
        <w:t>обращения  по</w:t>
      </w:r>
      <w:proofErr w:type="gramEnd"/>
      <w:r w:rsidRPr="00527ED4">
        <w:rPr>
          <w:color w:val="000000"/>
          <w:lang w:eastAsia="ru-RU"/>
        </w:rPr>
        <w:t xml:space="preserve"> вопросу вырубки зеленых насаждений. Администрацией муниципального района были организованы выезды на место проведения данных работ и установлено, что земельные участки, на которых ведется вырубка, являются частной собственностью с разрешенным использованием для ведения личного подсобного хозяйства, т.е. не являются землями государственного лесного фонда и получение разрешения на вырубку зеленых насаждений собственником не требуется.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 xml:space="preserve">Обращения о незаконном строительстве объектов на территории муниципального района рассматривались с выездом специалистов на место и в каждом конкретном случае заявителям </w:t>
      </w:r>
      <w:r w:rsidRPr="00527ED4">
        <w:rPr>
          <w:color w:val="000000"/>
          <w:lang w:eastAsia="ru-RU"/>
        </w:rPr>
        <w:lastRenderedPageBreak/>
        <w:t>разъяснялась законность возведения объектов и конкретные меры дальнейшего разрешения вопросов.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 xml:space="preserve">       В обращениях из раздела «Социальная сфера» граждане затрагивали такие вопросы как предоставление и оформление в собственность земельных участков для льготных категорий граждан, просьбы об оказании материальной помощи на: восстановление дома после пожара, ремонт домовладений, перекрытие кровли жилища. Большая часть данных обращений рассмотрена положительно за счет привлечения спонсорских средств в рамках </w:t>
      </w:r>
      <w:proofErr w:type="spellStart"/>
      <w:r w:rsidRPr="00527ED4">
        <w:rPr>
          <w:color w:val="000000"/>
          <w:lang w:eastAsia="ru-RU"/>
        </w:rPr>
        <w:t>муниципально</w:t>
      </w:r>
      <w:proofErr w:type="spellEnd"/>
      <w:r w:rsidRPr="00527ED4">
        <w:rPr>
          <w:color w:val="000000"/>
          <w:lang w:eastAsia="ru-RU"/>
        </w:rPr>
        <w:t xml:space="preserve"> - частного партнерства.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>В разделе «Государство, общество, политика» граждане чаще всего затрагивают вопросы оформления недвижимости в собственность и вопросы регистрации прав на недвижимое имущество и сделок с ним.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>По данным вопросам гражданам разъясняется порядок оформления их имущества и оказывается содействие, в том числе в восстановлении прав на недвижимость.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color w:val="000000"/>
          <w:lang w:eastAsia="ru-RU"/>
        </w:rPr>
        <w:t>          </w:t>
      </w:r>
      <w:r w:rsidRPr="00527ED4">
        <w:rPr>
          <w:lang w:eastAsia="ru-RU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комиссионное рассмотрение обращений с участием граждан;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комиссионные выезды на место;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-    постоянный контроль за исполнением наказов избирателей и протоколов поручений главы администрации.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1.7. Формы ответа заявителю: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1.7.1. В письменной форме – 114/432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1.7.2. В форме электронного документа – 9/15</w:t>
      </w:r>
    </w:p>
    <w:p w:rsidR="00527ED4" w:rsidRPr="00527ED4" w:rsidRDefault="00527ED4" w:rsidP="00527ED4">
      <w:pPr>
        <w:rPr>
          <w:lang w:eastAsia="ru-RU"/>
        </w:rPr>
      </w:pPr>
      <w:r w:rsidRPr="00527ED4">
        <w:rPr>
          <w:lang w:eastAsia="ru-RU"/>
        </w:rPr>
        <w:t>1.7.3. В устной форме – 4/350</w:t>
      </w:r>
    </w:p>
    <w:p w:rsidR="00527ED4" w:rsidRPr="00527ED4" w:rsidRDefault="00527ED4" w:rsidP="00527ED4">
      <w:pPr>
        <w:rPr>
          <w:color w:val="0C0E13"/>
          <w:lang w:eastAsia="ru-RU"/>
        </w:rPr>
      </w:pPr>
      <w:r w:rsidRPr="00527ED4">
        <w:rPr>
          <w:color w:val="0C0E13"/>
          <w:lang w:eastAsia="ru-RU"/>
        </w:rPr>
        <w:t>Количество повторных обращений – 4/4</w:t>
      </w:r>
    </w:p>
    <w:bookmarkEnd w:id="0"/>
    <w:p w:rsidR="006E1E95" w:rsidRPr="00527ED4" w:rsidRDefault="006E1E95" w:rsidP="00527ED4"/>
    <w:sectPr w:rsidR="006E1E95" w:rsidRPr="0052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527ED4"/>
    <w:rsid w:val="00670596"/>
    <w:rsid w:val="006B382E"/>
    <w:rsid w:val="006E1E95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2020-04-06T07:16:00Z</dcterms:created>
  <dcterms:modified xsi:type="dcterms:W3CDTF">2020-04-06T07:16:00Z</dcterms:modified>
</cp:coreProperties>
</file>